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C688C1B" w14:textId="77777777" w:rsidR="00C14FCD" w:rsidRDefault="00C14FCD" w:rsidP="00C14FCD">
      <w:pPr>
        <w:spacing w:after="0"/>
        <w:rPr>
          <w:rFonts w:cstheme="minorHAnsi"/>
        </w:rPr>
      </w:pPr>
      <w:bookmarkStart w:id="1" w:name="_Hlk178071624"/>
      <w:r w:rsidRPr="00F06922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Дапаглифлозин</w:t>
      </w:r>
      <w:r>
        <w:rPr>
          <w:rFonts w:cstheme="minorHAnsi"/>
        </w:rPr>
        <w:t xml:space="preserve"> </w:t>
      </w:r>
    </w:p>
    <w:bookmarkEnd w:id="1"/>
    <w:p w14:paraId="01D3C95F" w14:textId="77777777" w:rsidR="00C14FCD" w:rsidRDefault="00C14FCD" w:rsidP="00C14FCD">
      <w:pPr>
        <w:spacing w:after="0"/>
        <w:rPr>
          <w:rFonts w:cstheme="minorHAnsi"/>
        </w:rPr>
      </w:pPr>
    </w:p>
    <w:p w14:paraId="34E0E1CF" w14:textId="1CC7EC31" w:rsidR="00C14FCD" w:rsidRPr="00F878D4" w:rsidRDefault="00C14FCD" w:rsidP="00C14FCD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>- Таблетки 5 мг., 10 мг.,</w:t>
      </w:r>
      <w:r w:rsidR="001A7B12" w:rsidRPr="001A7B12">
        <w:rPr>
          <w:rFonts w:ascii="Times New Roman" w:hAnsi="Times New Roman" w:cs="Times New Roman"/>
          <w:sz w:val="28"/>
          <w:szCs w:val="28"/>
        </w:rPr>
        <w:t xml:space="preserve"> </w:t>
      </w:r>
      <w:r w:rsidR="001A7B12">
        <w:rPr>
          <w:rFonts w:ascii="Times New Roman" w:hAnsi="Times New Roman" w:cs="Times New Roman"/>
          <w:sz w:val="28"/>
          <w:szCs w:val="28"/>
        </w:rPr>
        <w:t>дозу и кратность приема определяет лечащий врач. Принимать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 </w:t>
      </w:r>
      <w:r w:rsidR="004B302B">
        <w:rPr>
          <w:rFonts w:ascii="Times New Roman" w:hAnsi="Times New Roman" w:cs="Times New Roman"/>
          <w:sz w:val="28"/>
          <w:szCs w:val="28"/>
        </w:rPr>
        <w:t xml:space="preserve">1 раз </w:t>
      </w:r>
      <w:r w:rsidRPr="00F878D4">
        <w:rPr>
          <w:rFonts w:ascii="Times New Roman" w:hAnsi="Times New Roman" w:cs="Times New Roman"/>
          <w:sz w:val="28"/>
          <w:szCs w:val="28"/>
        </w:rPr>
        <w:t>в сутки, независимо от приема пищи</w:t>
      </w:r>
      <w:r>
        <w:rPr>
          <w:rFonts w:ascii="Times New Roman" w:hAnsi="Times New Roman" w:cs="Times New Roman"/>
          <w:sz w:val="28"/>
          <w:szCs w:val="28"/>
        </w:rPr>
        <w:t>, не разжевывая</w:t>
      </w:r>
      <w:r w:rsidRPr="00F878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4380B1" w14:textId="77777777" w:rsidR="00C14FCD" w:rsidRPr="00F878D4" w:rsidRDefault="00C14FCD" w:rsidP="00C14FCD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>- Условия хранения: при температуре не выше 25 град.</w:t>
      </w:r>
    </w:p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2"/>
    </w:p>
    <w:p w14:paraId="3F238C32" w14:textId="4A290490" w:rsidR="00C14FCD" w:rsidRPr="00C14FCD" w:rsidRDefault="008A5867" w:rsidP="00C14FCD">
      <w:pPr>
        <w:spacing w:after="0"/>
        <w:rPr>
          <w:rFonts w:cstheme="minorHAnsi"/>
          <w:sz w:val="28"/>
          <w:szCs w:val="28"/>
        </w:rPr>
      </w:pPr>
      <w:bookmarkStart w:id="3" w:name="_Hlk178057836"/>
      <w:r w:rsidRPr="008A5867">
        <w:rPr>
          <w:rFonts w:ascii="Times New Roman" w:hAnsi="Times New Roman" w:cs="Times New Roman"/>
          <w:sz w:val="28"/>
          <w:szCs w:val="28"/>
        </w:rPr>
        <w:t xml:space="preserve">Подобно всем лекарственным препаратам препарат </w:t>
      </w:r>
      <w:r w:rsidR="00C14FCD" w:rsidRPr="00C14FCD">
        <w:rPr>
          <w:rFonts w:ascii="Times New Roman" w:hAnsi="Times New Roman" w:cs="Times New Roman"/>
          <w:sz w:val="28"/>
          <w:szCs w:val="28"/>
        </w:rPr>
        <w:t>ДАПАГЛИФЛОЗИН</w:t>
      </w:r>
      <w:r w:rsidR="00C14FCD" w:rsidRPr="00C14FCD">
        <w:rPr>
          <w:rFonts w:cstheme="minorHAnsi"/>
          <w:sz w:val="28"/>
          <w:szCs w:val="28"/>
        </w:rPr>
        <w:t xml:space="preserve"> </w:t>
      </w:r>
    </w:p>
    <w:p w14:paraId="6E3216B0" w14:textId="72E999DD" w:rsidR="008A5867" w:rsidRDefault="00784598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C14FCD" w:rsidRPr="00C14FCD">
        <w:rPr>
          <w:rFonts w:ascii="Times New Roman" w:hAnsi="Times New Roman" w:cs="Times New Roman"/>
          <w:sz w:val="28"/>
          <w:szCs w:val="28"/>
        </w:rPr>
        <w:t>ДАПАГЛИФЛОЗИН</w:t>
      </w:r>
      <w:r w:rsidR="00C14FCD" w:rsidRPr="00C14FCD">
        <w:rPr>
          <w:rFonts w:cstheme="minorHAnsi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3AD295" w14:textId="3BD66424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Профиль безопасности дапаглифлозина оценивали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95A50">
        <w:rPr>
          <w:rFonts w:ascii="Times New Roman" w:hAnsi="Times New Roman" w:cs="Times New Roman"/>
          <w:sz w:val="28"/>
          <w:szCs w:val="28"/>
        </w:rPr>
        <w:t xml:space="preserve"> клинических исследованиях '</w:t>
      </w:r>
    </w:p>
    <w:p w14:paraId="33AD7CB1" w14:textId="77777777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безопасности и эффективности дапаглифлозина при применении для терапии СД 2,</w:t>
      </w:r>
    </w:p>
    <w:p w14:paraId="21954E9F" w14:textId="2FC2099A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хронической сердечной недостаточности и хронической болезни почек, в период</w:t>
      </w:r>
    </w:p>
    <w:p w14:paraId="77F5E5B4" w14:textId="3ED7EF12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регистрационного наблюдения.</w:t>
      </w:r>
    </w:p>
    <w:p w14:paraId="6CCB7C93" w14:textId="7C5A9BD8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Профиль безопасности дапаглифлозина по изучаемым в исследованиях показаниям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сопоставим. Тяжелая гипогликемия и диабетический кетоацидоз наблюдались только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пациентов с сахарным диабетом. Нежелательные реакции не были дозозависимыми.</w:t>
      </w:r>
    </w:p>
    <w:p w14:paraId="4F5E2AEC" w14:textId="470E541B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Возможные на фоне терапии дапаглифлозином нежелательные реакции распределены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системно-органным классам с указанием частоты их возникновения согласно</w:t>
      </w:r>
    </w:p>
    <w:p w14:paraId="6C2F8E09" w14:textId="64E31D50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рекомендациям ВОЗ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502A0" w14:textId="77777777" w:rsidR="00495A50" w:rsidRPr="00495A50" w:rsidRDefault="00495A50" w:rsidP="00495A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Инфекционные и паразитарные заболевания: </w:t>
      </w:r>
    </w:p>
    <w:p w14:paraId="36C76A14" w14:textId="77777777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вульвовагинит, баланит и связанные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с ними генитальные инфекции, инфекция мочевыводящих путей;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5956F" w14:textId="77777777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нечасто </w:t>
      </w:r>
      <w:r w:rsidRPr="00495A50">
        <w:rPr>
          <w:rFonts w:ascii="Times New Roman" w:hAnsi="Times New Roman" w:cs="Times New Roman"/>
          <w:sz w:val="28"/>
          <w:szCs w:val="28"/>
        </w:rPr>
        <w:t xml:space="preserve">-вульвовагинальный зуд, грибковые инфекционные заболевания; </w:t>
      </w:r>
    </w:p>
    <w:p w14:paraId="58F10EED" w14:textId="35F59564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некротизирующий фасциит промежности (гангрена Фурнье)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13CEE8" w14:textId="77777777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B2389" w14:textId="77777777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обмена веществ и питания: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137CD" w14:textId="1E5FD31B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гипогликемия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применении в комбинации с производным сульфонилмочевины или инсулином);</w:t>
      </w:r>
    </w:p>
    <w:p w14:paraId="6241BBD1" w14:textId="77777777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снижение ОЦК, жажда;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EB0045" w14:textId="1CE76BD8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диабетический кстоацидоз (при применении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при СД 2)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7E6F3FCC" w14:textId="77777777" w:rsidR="00495A50" w:rsidRPr="00495A50" w:rsidRDefault="00495A50" w:rsidP="00495A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Нарушения со стороны нервной системы: </w:t>
      </w:r>
    </w:p>
    <w:p w14:paraId="427626CA" w14:textId="63E57969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Часто </w:t>
      </w:r>
      <w:r w:rsidR="00A57304">
        <w:rPr>
          <w:rFonts w:ascii="Times New Roman" w:hAnsi="Times New Roman" w:cs="Times New Roman"/>
          <w:sz w:val="28"/>
          <w:szCs w:val="28"/>
        </w:rPr>
        <w:t>–</w:t>
      </w:r>
      <w:r w:rsidRPr="00495A50">
        <w:rPr>
          <w:rFonts w:ascii="Times New Roman" w:hAnsi="Times New Roman" w:cs="Times New Roman"/>
          <w:sz w:val="28"/>
          <w:szCs w:val="28"/>
        </w:rPr>
        <w:t xml:space="preserve"> головокружение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5766C6DA" w14:textId="77777777" w:rsidR="00A57304" w:rsidRPr="00495A50" w:rsidRDefault="00A57304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CACE71" w14:textId="77777777" w:rsidR="00A57304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желудочно-кишечного тракта: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BAF769" w14:textId="5715D580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запор, сухость во рту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1F5ACB67" w14:textId="77777777" w:rsidR="00A57304" w:rsidRPr="00495A50" w:rsidRDefault="00A57304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CFF624" w14:textId="77777777" w:rsidR="00A57304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кожи и подкожных тканей: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CC4115" w14:textId="77777777" w:rsidR="00A57304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сыпь; </w:t>
      </w:r>
    </w:p>
    <w:p w14:paraId="6AAB24C1" w14:textId="4DC37112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</w:t>
      </w:r>
      <w:r w:rsidR="00A57304"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ангионевротический отек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66898E7C" w14:textId="77777777" w:rsidR="00A57304" w:rsidRPr="00495A50" w:rsidRDefault="00A57304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74536B" w14:textId="56F35C7A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костно-мышечной системы и соединительной ткани: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  <w:r w:rsidR="00A57304">
        <w:rPr>
          <w:rFonts w:ascii="Times New Roman" w:hAnsi="Times New Roman" w:cs="Times New Roman"/>
          <w:sz w:val="28"/>
          <w:szCs w:val="28"/>
        </w:rPr>
        <w:t>–</w:t>
      </w:r>
      <w:r w:rsidRPr="00495A50">
        <w:rPr>
          <w:rFonts w:ascii="Times New Roman" w:hAnsi="Times New Roman" w:cs="Times New Roman"/>
          <w:sz w:val="28"/>
          <w:szCs w:val="28"/>
        </w:rPr>
        <w:t xml:space="preserve"> боль</w:t>
      </w:r>
      <w:r w:rsidR="00A57304"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в спине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2B47ABB8" w14:textId="77777777" w:rsidR="00A57304" w:rsidRPr="00495A50" w:rsidRDefault="00A57304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B0FA0E" w14:textId="6C97B30A" w:rsidR="00495A50" w:rsidRPr="00A57304" w:rsidRDefault="00495A50" w:rsidP="00495A5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почек</w:t>
      </w:r>
      <w:r w:rsid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A57304"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мочевыводящих путей</w:t>
      </w:r>
      <w:r w:rsid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E3F0E57" w14:textId="75FBEB07" w:rsidR="00A57304" w:rsidRPr="00495A50" w:rsidRDefault="00A57304" w:rsidP="00A573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- дизурия, полиурия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7597D1" w14:textId="793C715F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  <w:r w:rsidR="00A57304">
        <w:rPr>
          <w:rFonts w:ascii="Times New Roman" w:hAnsi="Times New Roman" w:cs="Times New Roman"/>
          <w:sz w:val="28"/>
          <w:szCs w:val="28"/>
        </w:rPr>
        <w:t>–</w:t>
      </w:r>
      <w:r w:rsidRPr="00495A50">
        <w:rPr>
          <w:rFonts w:ascii="Times New Roman" w:hAnsi="Times New Roman" w:cs="Times New Roman"/>
          <w:sz w:val="28"/>
          <w:szCs w:val="28"/>
        </w:rPr>
        <w:t xml:space="preserve"> никтурия</w:t>
      </w:r>
      <w:r w:rsidR="00A57304">
        <w:rPr>
          <w:rFonts w:ascii="Times New Roman" w:hAnsi="Times New Roman" w:cs="Times New Roman"/>
          <w:sz w:val="28"/>
          <w:szCs w:val="28"/>
        </w:rPr>
        <w:t>.</w:t>
      </w:r>
    </w:p>
    <w:p w14:paraId="19EB9071" w14:textId="77777777" w:rsidR="00A57304" w:rsidRPr="00495A50" w:rsidRDefault="00A57304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A222CD" w14:textId="77777777" w:rsidR="00A57304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Лабораторные и инструментальные данные: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4332E" w14:textId="3F285610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</w:t>
      </w:r>
      <w:r w:rsidRPr="00495A50">
        <w:rPr>
          <w:rFonts w:ascii="Times New Roman" w:hAnsi="Times New Roman" w:cs="Times New Roman"/>
          <w:sz w:val="28"/>
          <w:szCs w:val="28"/>
        </w:rPr>
        <w:t xml:space="preserve"> </w:t>
      </w:r>
      <w:r w:rsidR="00A57304">
        <w:rPr>
          <w:rFonts w:ascii="Times New Roman" w:hAnsi="Times New Roman" w:cs="Times New Roman"/>
          <w:sz w:val="28"/>
          <w:szCs w:val="28"/>
        </w:rPr>
        <w:t xml:space="preserve">- </w:t>
      </w:r>
      <w:r w:rsidRPr="00495A50">
        <w:rPr>
          <w:rFonts w:ascii="Times New Roman" w:hAnsi="Times New Roman" w:cs="Times New Roman"/>
          <w:sz w:val="28"/>
          <w:szCs w:val="28"/>
        </w:rPr>
        <w:t>повышение значения</w:t>
      </w:r>
      <w:r w:rsidR="00A57304"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гематокрита, снижение почечного клиренса креатинина на начальном этапе терапии;</w:t>
      </w:r>
    </w:p>
    <w:p w14:paraId="079C5E48" w14:textId="7BB54A84" w:rsidR="00495A50" w:rsidRP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304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нечасто</w:t>
      </w:r>
      <w:r w:rsidR="00A57304">
        <w:rPr>
          <w:rFonts w:ascii="Times New Roman" w:hAnsi="Times New Roman" w:cs="Times New Roman"/>
          <w:sz w:val="28"/>
          <w:szCs w:val="28"/>
        </w:rPr>
        <w:t xml:space="preserve"> </w:t>
      </w:r>
      <w:r w:rsidRPr="00495A50">
        <w:rPr>
          <w:rFonts w:ascii="Times New Roman" w:hAnsi="Times New Roman" w:cs="Times New Roman"/>
          <w:sz w:val="28"/>
          <w:szCs w:val="28"/>
        </w:rPr>
        <w:t>- повышение концентрации мочевины в крови, повышение концентрации</w:t>
      </w:r>
    </w:p>
    <w:p w14:paraId="14D99938" w14:textId="00D5C72E" w:rsidR="00495A50" w:rsidRDefault="00495A50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5A50">
        <w:rPr>
          <w:rFonts w:ascii="Times New Roman" w:hAnsi="Times New Roman" w:cs="Times New Roman"/>
          <w:sz w:val="28"/>
          <w:szCs w:val="28"/>
        </w:rPr>
        <w:t>креатинина в крови на начальном этапе терапии.</w:t>
      </w:r>
    </w:p>
    <w:p w14:paraId="6B717A74" w14:textId="77777777" w:rsidR="008F0BDD" w:rsidRDefault="008F0BDD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E033A" w14:textId="43A92141" w:rsidR="00A57304" w:rsidRDefault="008F0BDD" w:rsidP="00495A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0BDD">
        <w:rPr>
          <w:rFonts w:ascii="Times New Roman" w:hAnsi="Times New Roman" w:cs="Times New Roman"/>
          <w:sz w:val="28"/>
          <w:szCs w:val="28"/>
        </w:rPr>
        <w:t>Ниже представлены нежелательные реакции, отмечавшиеся в плацебо-контролируемых клинических исследованиях (краткосрочная терапия до 24 нед независимо от приема дополнительного гипогликемического средства). Ни одна из них не зависела от дозы. Частота нежелательных реакций представлена в виде следующей градации: очень часто (≥1/10); часто (≥1/100, &lt;1/10); нечасто (≥1/1000, &lt;1/100); редко (≥1/10000, &lt;1/1000); очень редко (&lt;1/10000) и неуточненной частоты (невозможно оценить по полученным данным). В категории «часто» нежелательные явления отмечены у ≥2% пациентов, принимавших дапаглифлозин в дозе 10 мг, и на ≥1% чаще, чем в группе плацебо. В категории «нечасто» нежелательные явления отмечены у ≥0,2% пациентов и на ≥0,1% чаще и у большего количества пациентов (как минимум на 3) в группе дапаглифлозина 10 мг по сравнению с групой плацебо вне зависимости от приема дополнительного гипогликемического средства.</w:t>
      </w:r>
    </w:p>
    <w:p w14:paraId="1E92DFE5" w14:textId="77777777" w:rsidR="008F0BDD" w:rsidRPr="00495A50" w:rsidRDefault="008F0BDD" w:rsidP="00495A5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1B55D1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Инфекции и инвазии: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часто — вульвовагинит, баланит и подобные инфекции половых органов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1,2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, инфекция мочевыводящих путей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1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; нечасто — вульвовагинальный зуд.</w:t>
      </w:r>
    </w:p>
    <w:p w14:paraId="68B7FBC1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lastRenderedPageBreak/>
        <w:t>Со стороны обмена веществ и нарушение питания: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очень часто — гипогликемия (при применении в комбинации с производным сульфонилмочевины или инсулином)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1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; нечасто — снижение ОЦК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1,4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, жажда.</w:t>
      </w:r>
    </w:p>
    <w:p w14:paraId="75420A3B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Со стороны ЖКТ: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нечасто — запор.</w:t>
      </w:r>
    </w:p>
    <w:p w14:paraId="018F6197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Со стороны кожи и подкожных тканей: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нечасто — повышенное потоотделение.</w:t>
      </w:r>
    </w:p>
    <w:p w14:paraId="749F7D8C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Со стороны костно-мышечной системы и соединительной ткани: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часто — боль в спине.</w:t>
      </w:r>
    </w:p>
    <w:p w14:paraId="25A05DB2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Со стороны почек и мочевыводящих путей: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часто — дизурия, полиурия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3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; нечасто — никтурия.</w:t>
      </w:r>
    </w:p>
    <w:p w14:paraId="14374205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Лабораторные и инструментальные данные: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дислипидемия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5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, повышение значения гематокрита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vertAlign w:val="superscript"/>
        </w:rPr>
        <w:t>6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; повышение концентрации креатинина в крови, повышение концентрации мочевины в крови.</w:t>
      </w:r>
    </w:p>
    <w:p w14:paraId="26EC70D1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1</w:t>
      </w:r>
      <w:r w:rsidRPr="008F0BDD">
        <w:rPr>
          <w:color w:val="171717" w:themeColor="background2" w:themeShade="1A"/>
          <w:sz w:val="28"/>
          <w:szCs w:val="28"/>
        </w:rPr>
        <w:t> См. соответствующий подраздел ниже для получения дополнительной информации.</w:t>
      </w:r>
    </w:p>
    <w:p w14:paraId="57B0C1D7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2</w:t>
      </w:r>
      <w:r w:rsidRPr="008F0BDD">
        <w:rPr>
          <w:color w:val="171717" w:themeColor="background2" w:themeShade="1A"/>
          <w:sz w:val="28"/>
          <w:szCs w:val="28"/>
        </w:rPr>
        <w:t> Вульвовагинит, баланит и подобные инфекции половых органов включают, например, следующие заранее определенные предпочтительные термины: вульвовагинальная грибковая инфекция, вагинальная инфекция, баланит, грибковая инфекция половых органов, вульвовагинальный кандидоз, вульвовагинит, кандидозный баланит, генитальный кандидоз, инфекция половых органов, инфекция половых органов у мужчин, инфекция полового члена, вульвит, бактериальный вагинит, абсцесс вульвы.</w:t>
      </w:r>
    </w:p>
    <w:p w14:paraId="33092C9F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3</w:t>
      </w:r>
      <w:r w:rsidRPr="008F0BDD">
        <w:rPr>
          <w:color w:val="171717" w:themeColor="background2" w:themeShade="1A"/>
          <w:sz w:val="28"/>
          <w:szCs w:val="28"/>
        </w:rPr>
        <w:t> Полиурия включает предпочтительные термины: поллакиурия, полиурия и усиление диуреза.</w:t>
      </w:r>
    </w:p>
    <w:p w14:paraId="0201AF99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4</w:t>
      </w:r>
      <w:r w:rsidRPr="008F0BDD">
        <w:rPr>
          <w:color w:val="171717" w:themeColor="background2" w:themeShade="1A"/>
          <w:sz w:val="28"/>
          <w:szCs w:val="28"/>
        </w:rPr>
        <w:t> Снижение </w:t>
      </w:r>
      <w:r w:rsidRPr="008F0BDD">
        <w:rPr>
          <w:rStyle w:val="short"/>
          <w:color w:val="171717" w:themeColor="background2" w:themeShade="1A"/>
          <w:sz w:val="28"/>
          <w:szCs w:val="28"/>
        </w:rPr>
        <w:t>ОЦК</w:t>
      </w:r>
      <w:r w:rsidRPr="008F0BDD">
        <w:rPr>
          <w:color w:val="171717" w:themeColor="background2" w:themeShade="1A"/>
          <w:sz w:val="28"/>
          <w:szCs w:val="28"/>
        </w:rPr>
        <w:t> включает, например, следующие заранее определенные предпочтительные термины: обезвоживание, гиповолемия, артериальная гипотензия.</w:t>
      </w:r>
    </w:p>
    <w:p w14:paraId="15BA4046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5</w:t>
      </w:r>
      <w:r w:rsidRPr="008F0BDD">
        <w:rPr>
          <w:color w:val="171717" w:themeColor="background2" w:themeShade="1A"/>
          <w:sz w:val="28"/>
          <w:szCs w:val="28"/>
        </w:rPr>
        <w:t> Среднее изменение следующих показателей в процентах от исходных значений в группе дапаглифлозина 10 мг и групе плацебо соответственно составило: общий Хс — 1,4 по сравнению с -0,4%, Хс-ЛПВП — 5,5 по сравнению 3,8%, Хс-ЛПНП — 2,7 по сравнению с -1,9%, триглицериды — -5,4 по сравнению с -0,7%.</w:t>
      </w:r>
    </w:p>
    <w:p w14:paraId="2540800C" w14:textId="77777777" w:rsid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  <w:r w:rsidRPr="008F0BDD">
        <w:rPr>
          <w:color w:val="171717" w:themeColor="background2" w:themeShade="1A"/>
          <w:sz w:val="28"/>
          <w:szCs w:val="28"/>
          <w:vertAlign w:val="superscript"/>
        </w:rPr>
        <w:t>6</w:t>
      </w:r>
      <w:r w:rsidRPr="008F0BDD">
        <w:rPr>
          <w:color w:val="171717" w:themeColor="background2" w:themeShade="1A"/>
          <w:sz w:val="28"/>
          <w:szCs w:val="28"/>
        </w:rPr>
        <w:t>Средние изменения значения гематокрита от исходных значений составили 2,15% в группе дапаглифлозина 10 мг по сравнению с -0,4% в группе плацебо.</w:t>
      </w:r>
    </w:p>
    <w:p w14:paraId="3EFB0394" w14:textId="77777777" w:rsidR="008F0BDD" w:rsidRPr="008F0BDD" w:rsidRDefault="008F0BDD" w:rsidP="008F0BDD">
      <w:pPr>
        <w:pStyle w:val="tablesubscr"/>
        <w:shd w:val="clear" w:color="auto" w:fill="FFFFFF"/>
        <w:spacing w:before="60" w:beforeAutospacing="0" w:after="240" w:afterAutospacing="0" w:line="315" w:lineRule="atLeast"/>
        <w:rPr>
          <w:color w:val="171717" w:themeColor="background2" w:themeShade="1A"/>
          <w:sz w:val="28"/>
          <w:szCs w:val="28"/>
        </w:rPr>
      </w:pPr>
    </w:p>
    <w:p w14:paraId="367D02D5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Описание отдельных нежелательных реакций</w:t>
      </w:r>
    </w:p>
    <w:p w14:paraId="74E2813D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lastRenderedPageBreak/>
        <w:t>Гипогликемия.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Частота развития гипогликемии зависела от типа базовой терапии, используемой в каждом исследовании.</w:t>
      </w:r>
    </w:p>
    <w:p w14:paraId="3084F586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В исследованиях дапаглифлозина в качестве монотерапии, комбинированной терапии с метформином продолжительностью до 102 нед частота развития эпизодов легкой гипогликемии была схожей (&lt;5%) в группах лечения, включая плацебо. Во всех исследованиях эпизоды тяжелой гипогликемии отмечены нечасто, и их частота была сопоставима между группой дапаглифлозина и плацебо. В исследованиях дапаглифлозина в качестве добавления к препарату сульфонилмочевины или инсулина отмечена более высокая частота гипогликемии (см. «Взаимодействие»).</w:t>
      </w:r>
    </w:p>
    <w:p w14:paraId="77CBF2F6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Снижение </w:t>
      </w:r>
      <w:r w:rsidRPr="008F0BDD">
        <w:rPr>
          <w:rStyle w:val="short"/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ОЦК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. 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Нежелательные реакции, связанные со снижением </w:t>
      </w:r>
      <w:r w:rsidRPr="008F0BDD">
        <w:rPr>
          <w:rStyle w:val="short"/>
          <w:rFonts w:ascii="Arial" w:hAnsi="Arial" w:cs="Arial"/>
          <w:color w:val="171717" w:themeColor="background2" w:themeShade="1A"/>
          <w:sz w:val="28"/>
          <w:szCs w:val="28"/>
        </w:rPr>
        <w:t>ОЦК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(включая сообщения об обезвоживании, гиповолемии или артериальной гипотензии), отмечены у 0,8 и 0,4% пациентов, принимавших дапаглифлозин 10 мг и плацебо соответственно; серьезные реакции отмечены у &lt;0,2% пациентов, и они были сопоставимы в группах дапаглифлозина 10 мг и плацебо (см. «Меры предосторожности»).</w:t>
      </w:r>
    </w:p>
    <w:p w14:paraId="6634CD0A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Вульвовагинит, баланит и подобные инфекции половых органов.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Вульвовагинит, баланит и подобные инфекции половых органов отмечены у 4,8 и 0,9% пациентов, принимавших дапаглифлозин 10 мг и плацебо соответственно. Большинство инфекций были слабо или умеренно выраженными; начальный курс стандартной терапии был эффективен, в связи с чем пациенты редко прекращали прием дапаглифлозина. Эти инфекции чаще развивались у женщин (6,9 и 1,5% при применении дапаглифлозина и плацебо соответственно), а у пациентов с такими инфекциями в анамнезе они чаще рецидивировали.</w:t>
      </w:r>
    </w:p>
    <w:p w14:paraId="12AAD446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Инфекции мочевыводящих путей.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Инфекции мочевыводящих путей чаще отмечены при применении дапаглифлозина 10 мг, чем при применении плацебо (4,3% по сравнению с 3,7% соответственно; см. «Меры предосторожности»). Большинство инфекций были слабо или умеренно выраженными; начальный курс стандартной терапии был эффективен, в связи с чем пациенты редко прекращали применение дапаглифлозина. Эти инфекции чаще развивались у женщин, а у пациентов с такими инфекциями в анамнезе они чаще рецидивировали.</w:t>
      </w:r>
    </w:p>
    <w:p w14:paraId="3E9E3A87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Паратиреоидный гормон (ПТГ).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Отмечено небольшое повышение концентрации ПТГ в сыворотке крови и в большей степени у пациентов с более высокими исходными концентрациями ПТГ. Исследования </w:t>
      </w:r>
      <w:r w:rsidRPr="008F0BDD">
        <w:rPr>
          <w:rStyle w:val="short"/>
          <w:rFonts w:ascii="Arial" w:hAnsi="Arial" w:cs="Arial"/>
          <w:color w:val="171717" w:themeColor="background2" w:themeShade="1A"/>
          <w:sz w:val="28"/>
          <w:szCs w:val="28"/>
        </w:rPr>
        <w:t>МПКТ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у пациентов с нормальной функцией почек или нарушением функции почек легкой степени не выявили потери костной массы в течение одного года терапии.</w:t>
      </w:r>
    </w:p>
    <w:p w14:paraId="57381041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lastRenderedPageBreak/>
        <w:t>Злокачественные опухоли.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В клинических исследованиях общая доля пациентов со злокачественными или неуточненными опухолями была схожей в группе дапаглифлозина (1,47%) и плацебо/препарата сравнения (1,35%). Согласно данным исследований на животных, дапаглифлозин не проявлял канцерогенных или мутагенных свойств. При рассмотрении случаев развития опухолей различных систем органов, относительный риск, ассоциировавшийся с дапаглифлозином, был выше 1 для некоторых опухолей (мочевой пузырь, предстательная железа, молочная железа) и ниже 1 для других (например кровь и лимфатическая система, яичники, мочевыделительная система) в целом без повышения риска развития опухолей, ассоциируемого с дапаглифлозином. Повышенный/пониженный риск не был статистически значимым ни для одной системы органов. Учитывая отсутствие в доклинических исследованиях сведений о развитии опухолей, а также короткий латентный период между первой экспозицией дапаглифлозина и диагностикой опухоли, причинно-следственная связь оценивается как маловероятная. Так как численный дисбаланс опухолей молочной железы, мочевого пузыря и предстательной железы требует особого внимания, изучение этого вопроса будет продолжено в рамках пострегистрационных исследований.</w:t>
      </w:r>
    </w:p>
    <w:p w14:paraId="1CD464D5" w14:textId="77777777" w:rsidR="008F0BDD" w:rsidRPr="008F0BDD" w:rsidRDefault="008F0BDD" w:rsidP="008F0BDD">
      <w:pPr>
        <w:pStyle w:val="opisdvfld"/>
        <w:shd w:val="clear" w:color="auto" w:fill="FFFFFF"/>
        <w:spacing w:before="60" w:beforeAutospacing="0" w:after="240" w:afterAutospacing="0" w:line="315" w:lineRule="atLeast"/>
        <w:rPr>
          <w:rFonts w:ascii="Arial" w:hAnsi="Arial" w:cs="Arial"/>
          <w:color w:val="171717" w:themeColor="background2" w:themeShade="1A"/>
          <w:sz w:val="28"/>
          <w:szCs w:val="28"/>
        </w:rPr>
      </w:pPr>
      <w:r w:rsidRPr="008F0BDD">
        <w:rPr>
          <w:rFonts w:ascii="Arial" w:hAnsi="Arial" w:cs="Arial"/>
          <w:color w:val="171717" w:themeColor="background2" w:themeShade="1A"/>
          <w:sz w:val="28"/>
          <w:szCs w:val="28"/>
          <w:shd w:val="clear" w:color="auto" w:fill="E0EBED"/>
        </w:rPr>
        <w:t>Пожилые пациенты (≥65 лет).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 Нежелательные реакции, связанные с нарушением функции почек или почечной недостаточностью, зарегистрированы у 2,5% пациентов, получавших дапаглифлозин, и у 1,1% больных, получавших плацебо, в группе пациентов ≥65 лет (см. «Меры предосторожности»). Наиболее частой нежелательной реакцией, связанной с нарушением функции почек, было повышение концентрации креатинина в сыворотке. Большинство этих реакций было транзиторными и обратимыми. Среди пациентов в возрасте ≥65 лет снижение </w:t>
      </w:r>
      <w:r w:rsidRPr="008F0BDD">
        <w:rPr>
          <w:rStyle w:val="short"/>
          <w:rFonts w:ascii="Arial" w:hAnsi="Arial" w:cs="Arial"/>
          <w:color w:val="171717" w:themeColor="background2" w:themeShade="1A"/>
          <w:sz w:val="28"/>
          <w:szCs w:val="28"/>
        </w:rPr>
        <w:t>ОЦК</w:t>
      </w:r>
      <w:r w:rsidRPr="008F0BDD">
        <w:rPr>
          <w:rFonts w:ascii="Arial" w:hAnsi="Arial" w:cs="Arial"/>
          <w:color w:val="171717" w:themeColor="background2" w:themeShade="1A"/>
          <w:sz w:val="28"/>
          <w:szCs w:val="28"/>
        </w:rPr>
        <w:t>, наиболее часто регистрировавшееся как артериальная гипотензия, отмечено у 1,5 и 0,4% пациентов, принимавших дапаглифлозин и плацебо соответственно (см. «Меры предосторожности»).</w:t>
      </w:r>
    </w:p>
    <w:p w14:paraId="15DA3BB2" w14:textId="77777777" w:rsidR="005911F1" w:rsidRDefault="005911F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4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566232F7" w14:textId="77777777" w:rsidR="007D1E11" w:rsidRDefault="00000000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="007D1E11" w:rsidRPr="00CE64ED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p w14:paraId="6D65E0E9" w14:textId="77777777" w:rsidR="007D1E11" w:rsidRDefault="007D1E11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17C1740" w14:textId="77777777" w:rsidR="005C6AD9" w:rsidRDefault="005C6AD9" w:rsidP="007D1E11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14:paraId="0D14F390" w14:textId="77777777" w:rsidR="00342690" w:rsidRPr="00837553" w:rsidRDefault="00342690" w:rsidP="00342690">
      <w:pPr>
        <w:spacing w:after="0"/>
        <w:ind w:left="-142"/>
        <w:rPr>
          <w:rFonts w:cstheme="minorHAnsi"/>
        </w:rPr>
      </w:pPr>
    </w:p>
    <w:bookmarkEnd w:id="3"/>
    <w:bookmarkEnd w:id="4"/>
    <w:p w14:paraId="147C60CE" w14:textId="147E8B6B" w:rsidR="00B944B8" w:rsidRPr="00100BF2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33418FB5" w14:textId="520AED86" w:rsidR="00B944B8" w:rsidRPr="00B944B8" w:rsidRDefault="00000000" w:rsidP="00B944B8">
      <w:pPr>
        <w:spacing w:after="0"/>
        <w:ind w:left="-142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7" w:history="1">
        <w:r w:rsidR="00B944B8" w:rsidRPr="00B944B8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https://grls.pharm-portal.ru/grls/cacfc8a9-fdb9-4bf4-8049-a47849c6fdf0</w:t>
        </w:r>
      </w:hyperlink>
    </w:p>
    <w:p w14:paraId="62C8EE2D" w14:textId="77777777" w:rsidR="00B944B8" w:rsidRPr="00B944B8" w:rsidRDefault="00B944B8" w:rsidP="00B944B8">
      <w:pPr>
        <w:spacing w:after="0"/>
        <w:ind w:left="-142"/>
        <w:rPr>
          <w:rFonts w:ascii="Times New Roman" w:hAnsi="Times New Roman" w:cs="Times New Roman"/>
          <w:i/>
          <w:iCs/>
          <w:sz w:val="28"/>
          <w:szCs w:val="28"/>
        </w:rPr>
      </w:pPr>
    </w:p>
    <w:p w14:paraId="7532ED0A" w14:textId="77777777" w:rsidR="00B944B8" w:rsidRPr="00100BF2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0ED6FD0F" w14:textId="7597C664" w:rsidR="00342690" w:rsidRDefault="00000000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  <w:hyperlink r:id="rId8" w:history="1">
        <w:r w:rsidR="00B944B8" w:rsidRPr="00FD3194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https://www.rlsnet.ru/active-substance/dapagliflozin-3215?ysclid=m1g8nsptdu458999780</w:t>
        </w:r>
      </w:hyperlink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A7B12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42690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95A50"/>
    <w:rsid w:val="004B302B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66A30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57304"/>
    <w:rsid w:val="00A9010F"/>
    <w:rsid w:val="00AC7E26"/>
    <w:rsid w:val="00AD1D5B"/>
    <w:rsid w:val="00B00B3C"/>
    <w:rsid w:val="00B25041"/>
    <w:rsid w:val="00B40CBF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D03773"/>
    <w:rsid w:val="00D54BC4"/>
    <w:rsid w:val="00DB7547"/>
    <w:rsid w:val="00DC078F"/>
    <w:rsid w:val="00DC4F99"/>
    <w:rsid w:val="00DF39E5"/>
    <w:rsid w:val="00DF707A"/>
    <w:rsid w:val="00E43A54"/>
    <w:rsid w:val="00E571E6"/>
    <w:rsid w:val="00E76831"/>
    <w:rsid w:val="00F06922"/>
    <w:rsid w:val="00F20101"/>
    <w:rsid w:val="00F435BF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dapagliflozin-3215?ysclid=m1g8nsptdu4589997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cacfc8a9-fdb9-4bf4-8049-a47849c6fd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28</cp:revision>
  <dcterms:created xsi:type="dcterms:W3CDTF">2024-08-11T07:06:00Z</dcterms:created>
  <dcterms:modified xsi:type="dcterms:W3CDTF">2024-09-24T10:01:00Z</dcterms:modified>
</cp:coreProperties>
</file>